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1E168" w14:textId="2A29403F" w:rsidR="00E6495E" w:rsidRDefault="00523733">
      <w:r>
        <w:rPr>
          <w:noProof/>
        </w:rPr>
        <w:drawing>
          <wp:inline distT="0" distB="0" distL="0" distR="0" wp14:anchorId="0B927DB1" wp14:editId="1D6A3D87">
            <wp:extent cx="5943600" cy="1485900"/>
            <wp:effectExtent l="0" t="0" r="0" b="0"/>
            <wp:docPr id="1699628979" name="Picture 1" descr="A person in fron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628979" name="Picture 1" descr="A person in front of a compute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p w14:paraId="40F18F47" w14:textId="3AEED190" w:rsidR="00E62CDC" w:rsidRPr="00025EC9" w:rsidRDefault="00E62CDC">
      <w:pPr>
        <w:rPr>
          <w:b/>
          <w:bCs/>
          <w:sz w:val="36"/>
          <w:szCs w:val="36"/>
        </w:rPr>
      </w:pPr>
      <w:r w:rsidRPr="00025EC9">
        <w:rPr>
          <w:b/>
          <w:bCs/>
          <w:sz w:val="36"/>
          <w:szCs w:val="36"/>
        </w:rPr>
        <w:t>Session information</w:t>
      </w:r>
    </w:p>
    <w:tbl>
      <w:tblPr>
        <w:tblStyle w:val="TableGrid"/>
        <w:tblW w:w="0" w:type="auto"/>
        <w:tblLook w:val="04A0" w:firstRow="1" w:lastRow="0" w:firstColumn="1" w:lastColumn="0" w:noHBand="0" w:noVBand="1"/>
      </w:tblPr>
      <w:tblGrid>
        <w:gridCol w:w="1299"/>
        <w:gridCol w:w="8051"/>
      </w:tblGrid>
      <w:tr w:rsidR="00AC60B0" w14:paraId="4B33142F" w14:textId="77777777" w:rsidTr="00AC60B0">
        <w:tc>
          <w:tcPr>
            <w:tcW w:w="1299" w:type="dxa"/>
          </w:tcPr>
          <w:p w14:paraId="400CF672" w14:textId="58C4316F" w:rsidR="00AC60B0" w:rsidRPr="00523733" w:rsidRDefault="00AC60B0" w:rsidP="00AC60B0">
            <w:pPr>
              <w:rPr>
                <w:b/>
                <w:bCs/>
                <w:sz w:val="28"/>
                <w:szCs w:val="28"/>
              </w:rPr>
            </w:pPr>
            <w:r w:rsidRPr="00523733">
              <w:rPr>
                <w:b/>
                <w:bCs/>
                <w:sz w:val="28"/>
                <w:szCs w:val="28"/>
              </w:rPr>
              <w:t>Session Title</w:t>
            </w:r>
          </w:p>
        </w:tc>
        <w:tc>
          <w:tcPr>
            <w:tcW w:w="8277" w:type="dxa"/>
          </w:tcPr>
          <w:p w14:paraId="4C57465C" w14:textId="468E30E7" w:rsidR="00AC60B0" w:rsidRPr="00523733" w:rsidRDefault="00AC60B0" w:rsidP="00AC60B0">
            <w:pPr>
              <w:rPr>
                <w:b/>
                <w:bCs/>
                <w:sz w:val="28"/>
                <w:szCs w:val="28"/>
              </w:rPr>
            </w:pPr>
            <w:r w:rsidRPr="00523733">
              <w:rPr>
                <w:b/>
                <w:bCs/>
                <w:sz w:val="28"/>
                <w:szCs w:val="28"/>
              </w:rPr>
              <w:t>Evaluating Students who are Deaf and Hard of Hearing: Choosing the Appropriate Assessments</w:t>
            </w:r>
          </w:p>
        </w:tc>
      </w:tr>
      <w:tr w:rsidR="00AC60B0" w14:paraId="128221D2" w14:textId="77777777" w:rsidTr="00AC60B0">
        <w:tc>
          <w:tcPr>
            <w:tcW w:w="1299" w:type="dxa"/>
          </w:tcPr>
          <w:p w14:paraId="019A23F9" w14:textId="7AFC0F85" w:rsidR="00AC60B0" w:rsidRDefault="00AC60B0" w:rsidP="00AC60B0">
            <w:r>
              <w:t>Description</w:t>
            </w:r>
          </w:p>
        </w:tc>
        <w:tc>
          <w:tcPr>
            <w:tcW w:w="8277" w:type="dxa"/>
          </w:tcPr>
          <w:p w14:paraId="1162B338" w14:textId="31FBDB2D" w:rsidR="00AC60B0" w:rsidRDefault="00AC60B0" w:rsidP="00AC60B0">
            <w:r>
              <w:t>Teacher</w:t>
            </w:r>
            <w:r w:rsidR="00171812">
              <w:t>s</w:t>
            </w:r>
            <w:r>
              <w:t xml:space="preserve"> play a critical role in the assessment process for students who are d/Deaf or Hard of Hearing (DHH). Understanding which tools accurately reflect a student’s abilities is essential for developing effective IEPs. This session will review the areas of assessment, determining the appropriate assessment(s) for each area, how and when to use it, and finally interpreting the data to create the most effective IEP possible.</w:t>
            </w:r>
          </w:p>
        </w:tc>
      </w:tr>
      <w:tr w:rsidR="00AC60B0" w14:paraId="3D06EC08" w14:textId="77777777" w:rsidTr="00AC60B0">
        <w:tc>
          <w:tcPr>
            <w:tcW w:w="1299" w:type="dxa"/>
          </w:tcPr>
          <w:p w14:paraId="2558364B" w14:textId="3F9DDC10" w:rsidR="00AC60B0" w:rsidRDefault="00AC60B0" w:rsidP="00AC60B0">
            <w:r>
              <w:t>Objectives</w:t>
            </w:r>
          </w:p>
        </w:tc>
        <w:tc>
          <w:tcPr>
            <w:tcW w:w="8277" w:type="dxa"/>
          </w:tcPr>
          <w:p w14:paraId="493BAC9C" w14:textId="77777777" w:rsidR="00AC60B0" w:rsidRDefault="00AC60B0" w:rsidP="00AC60B0">
            <w:pPr>
              <w:pStyle w:val="ListParagraph"/>
              <w:numPr>
                <w:ilvl w:val="0"/>
                <w:numId w:val="1"/>
              </w:numPr>
            </w:pPr>
            <w:r>
              <w:t>Identify areas of assessment.</w:t>
            </w:r>
          </w:p>
          <w:p w14:paraId="0D8961D7" w14:textId="7B0C469E" w:rsidR="00AC60B0" w:rsidRDefault="00AC60B0" w:rsidP="00AC60B0">
            <w:pPr>
              <w:pStyle w:val="ListParagraph"/>
              <w:numPr>
                <w:ilvl w:val="0"/>
                <w:numId w:val="1"/>
              </w:numPr>
            </w:pPr>
            <w:r>
              <w:t>Choose assessment tools and practices that are appropriate for testing those areas.</w:t>
            </w:r>
          </w:p>
          <w:p w14:paraId="44279188" w14:textId="61A11F5C" w:rsidR="00AC60B0" w:rsidRDefault="00AC60B0" w:rsidP="00AC60B0">
            <w:pPr>
              <w:pStyle w:val="ListParagraph"/>
              <w:numPr>
                <w:ilvl w:val="0"/>
                <w:numId w:val="1"/>
              </w:numPr>
            </w:pPr>
            <w:r>
              <w:t xml:space="preserve">Understand how to interpret test results in the context of a student’s hearing </w:t>
            </w:r>
            <w:r w:rsidR="00171812">
              <w:t>difference</w:t>
            </w:r>
            <w:r>
              <w:t>, language development, and educational background.</w:t>
            </w:r>
          </w:p>
        </w:tc>
      </w:tr>
      <w:tr w:rsidR="00AC60B0" w14:paraId="7C189A1F" w14:textId="77777777" w:rsidTr="00AC60B0">
        <w:tc>
          <w:tcPr>
            <w:tcW w:w="1299" w:type="dxa"/>
          </w:tcPr>
          <w:p w14:paraId="4D99B3FD" w14:textId="749B946E" w:rsidR="00AC60B0" w:rsidRDefault="00AC60B0" w:rsidP="00AC60B0">
            <w:r>
              <w:t>Presenter(s)</w:t>
            </w:r>
          </w:p>
        </w:tc>
        <w:tc>
          <w:tcPr>
            <w:tcW w:w="8277" w:type="dxa"/>
          </w:tcPr>
          <w:p w14:paraId="1C9ADCE2" w14:textId="17B1A2E1" w:rsidR="00AC60B0" w:rsidRDefault="00AC60B0" w:rsidP="00AC60B0">
            <w:r>
              <w:t>Brenda Wellen and Michelle Andros</w:t>
            </w:r>
          </w:p>
        </w:tc>
      </w:tr>
      <w:tr w:rsidR="00AC60B0" w14:paraId="3E558C9E" w14:textId="77777777" w:rsidTr="00AC60B0">
        <w:tc>
          <w:tcPr>
            <w:tcW w:w="1299" w:type="dxa"/>
          </w:tcPr>
          <w:p w14:paraId="56DD972A" w14:textId="2DF54F1D" w:rsidR="00AC60B0" w:rsidRDefault="00AC60B0" w:rsidP="00AC60B0">
            <w:r>
              <w:t>Length</w:t>
            </w:r>
          </w:p>
        </w:tc>
        <w:tc>
          <w:tcPr>
            <w:tcW w:w="8277" w:type="dxa"/>
          </w:tcPr>
          <w:p w14:paraId="0DFD027F" w14:textId="5E63DE61" w:rsidR="00AC60B0" w:rsidRDefault="00AC60B0" w:rsidP="00AC60B0">
            <w:r>
              <w:t>90 – 120 minutes</w:t>
            </w:r>
          </w:p>
        </w:tc>
      </w:tr>
      <w:tr w:rsidR="00AC60B0" w14:paraId="12A65DEB" w14:textId="77777777" w:rsidTr="00AC60B0">
        <w:tc>
          <w:tcPr>
            <w:tcW w:w="1299" w:type="dxa"/>
          </w:tcPr>
          <w:p w14:paraId="73005200" w14:textId="1F1A75D9" w:rsidR="00AC60B0" w:rsidRDefault="00AC60B0" w:rsidP="00AC60B0">
            <w:r>
              <w:t>Materials</w:t>
            </w:r>
          </w:p>
        </w:tc>
        <w:tc>
          <w:tcPr>
            <w:tcW w:w="8277" w:type="dxa"/>
          </w:tcPr>
          <w:p w14:paraId="6E56CA93" w14:textId="77777777" w:rsidR="00AC60B0" w:rsidRDefault="00AC60B0" w:rsidP="00AC60B0"/>
        </w:tc>
      </w:tr>
    </w:tbl>
    <w:p w14:paraId="3F3DA325" w14:textId="77777777" w:rsidR="00AC60B0" w:rsidRDefault="00AC60B0"/>
    <w:tbl>
      <w:tblPr>
        <w:tblStyle w:val="TableGrid"/>
        <w:tblW w:w="0" w:type="auto"/>
        <w:tblLook w:val="04A0" w:firstRow="1" w:lastRow="0" w:firstColumn="1" w:lastColumn="0" w:noHBand="0" w:noVBand="1"/>
      </w:tblPr>
      <w:tblGrid>
        <w:gridCol w:w="1299"/>
        <w:gridCol w:w="8051"/>
      </w:tblGrid>
      <w:tr w:rsidR="00995B44" w14:paraId="71A81F98" w14:textId="77777777" w:rsidTr="00250047">
        <w:tc>
          <w:tcPr>
            <w:tcW w:w="1299" w:type="dxa"/>
          </w:tcPr>
          <w:p w14:paraId="04AA09E8" w14:textId="77777777" w:rsidR="00995B44" w:rsidRPr="00523733" w:rsidRDefault="00995B44" w:rsidP="00995B44">
            <w:pPr>
              <w:rPr>
                <w:b/>
                <w:bCs/>
                <w:sz w:val="28"/>
                <w:szCs w:val="28"/>
              </w:rPr>
            </w:pPr>
            <w:r w:rsidRPr="00523733">
              <w:rPr>
                <w:b/>
                <w:bCs/>
                <w:sz w:val="28"/>
                <w:szCs w:val="28"/>
              </w:rPr>
              <w:t>Session Title</w:t>
            </w:r>
          </w:p>
        </w:tc>
        <w:tc>
          <w:tcPr>
            <w:tcW w:w="8277" w:type="dxa"/>
          </w:tcPr>
          <w:p w14:paraId="0A4AC65A" w14:textId="3F41A6A7" w:rsidR="00995B44" w:rsidRPr="00523733" w:rsidRDefault="00995B44" w:rsidP="00995B44">
            <w:pPr>
              <w:rPr>
                <w:b/>
                <w:bCs/>
                <w:sz w:val="28"/>
                <w:szCs w:val="28"/>
              </w:rPr>
            </w:pPr>
            <w:r w:rsidRPr="00523733">
              <w:rPr>
                <w:b/>
                <w:bCs/>
                <w:sz w:val="28"/>
                <w:szCs w:val="28"/>
              </w:rPr>
              <w:t>Getting Students Ready for Life After High School: Secondary Transition</w:t>
            </w:r>
          </w:p>
        </w:tc>
      </w:tr>
      <w:tr w:rsidR="00995B44" w14:paraId="12F90630" w14:textId="77777777" w:rsidTr="00250047">
        <w:tc>
          <w:tcPr>
            <w:tcW w:w="1299" w:type="dxa"/>
          </w:tcPr>
          <w:p w14:paraId="59D0ED33" w14:textId="77777777" w:rsidR="00995B44" w:rsidRDefault="00995B44" w:rsidP="00995B44">
            <w:r>
              <w:t>Description</w:t>
            </w:r>
          </w:p>
        </w:tc>
        <w:tc>
          <w:tcPr>
            <w:tcW w:w="8277" w:type="dxa"/>
          </w:tcPr>
          <w:p w14:paraId="3F28956B" w14:textId="7C15ACA3" w:rsidR="00995B44" w:rsidRDefault="00EB2AE2" w:rsidP="00995B44">
            <w:r>
              <w:t>Preparing d/Deaf and Hard of Hearing students for life beyond high school requires a comprehensive, individualized approach that addresses academic, vocational, social, and self-advocacy skills. This workshop explores best practices in secondary transition planning, including how to develop effective IEP transition goals, facilitate student-centered planning, and connect families and students with resources that support postsecondary success.</w:t>
            </w:r>
          </w:p>
        </w:tc>
      </w:tr>
      <w:tr w:rsidR="00995B44" w14:paraId="3A0D8031" w14:textId="77777777" w:rsidTr="00250047">
        <w:tc>
          <w:tcPr>
            <w:tcW w:w="1299" w:type="dxa"/>
          </w:tcPr>
          <w:p w14:paraId="766F0A85" w14:textId="77777777" w:rsidR="00995B44" w:rsidRDefault="00995B44" w:rsidP="00995B44">
            <w:r>
              <w:t>Objectives</w:t>
            </w:r>
          </w:p>
        </w:tc>
        <w:tc>
          <w:tcPr>
            <w:tcW w:w="8277" w:type="dxa"/>
          </w:tcPr>
          <w:p w14:paraId="3226F6FD" w14:textId="022110E4" w:rsidR="00995B44" w:rsidRDefault="007635FB" w:rsidP="007635FB">
            <w:pPr>
              <w:pStyle w:val="ListParagraph"/>
              <w:numPr>
                <w:ilvl w:val="0"/>
                <w:numId w:val="4"/>
              </w:numPr>
            </w:pPr>
            <w:r>
              <w:t>Understand the legal framework and key components of secondary transition planning for students who are Deaf or Hard of Hearing</w:t>
            </w:r>
            <w:r w:rsidR="003C00B3">
              <w:t>.</w:t>
            </w:r>
          </w:p>
          <w:p w14:paraId="3E1370A2" w14:textId="77777777" w:rsidR="007635FB" w:rsidRDefault="007635FB" w:rsidP="007635FB">
            <w:pPr>
              <w:pStyle w:val="ListParagraph"/>
              <w:numPr>
                <w:ilvl w:val="0"/>
                <w:numId w:val="4"/>
              </w:numPr>
            </w:pPr>
            <w:r>
              <w:t>Develop individualized and realistic transition goals that reflect each student’s strengths, preferences, interests, and needs.</w:t>
            </w:r>
          </w:p>
          <w:p w14:paraId="0AA01335" w14:textId="797CF045" w:rsidR="007635FB" w:rsidRDefault="007635FB" w:rsidP="007635FB">
            <w:pPr>
              <w:pStyle w:val="ListParagraph"/>
              <w:numPr>
                <w:ilvl w:val="0"/>
                <w:numId w:val="4"/>
              </w:numPr>
            </w:pPr>
            <w:r>
              <w:t>Integrate self-advocacy, communication planning, and career readiness skills into daily instruction and IEP development for DHH students.</w:t>
            </w:r>
          </w:p>
        </w:tc>
      </w:tr>
      <w:tr w:rsidR="00995B44" w14:paraId="00D3CF08" w14:textId="77777777" w:rsidTr="00250047">
        <w:tc>
          <w:tcPr>
            <w:tcW w:w="1299" w:type="dxa"/>
          </w:tcPr>
          <w:p w14:paraId="32FBAA86" w14:textId="77777777" w:rsidR="00995B44" w:rsidRDefault="00995B44" w:rsidP="00995B44">
            <w:r>
              <w:t>Presenter(s)</w:t>
            </w:r>
          </w:p>
        </w:tc>
        <w:tc>
          <w:tcPr>
            <w:tcW w:w="8277" w:type="dxa"/>
          </w:tcPr>
          <w:p w14:paraId="7BC99E88" w14:textId="7091771C" w:rsidR="00995B44" w:rsidRDefault="00995B44" w:rsidP="00995B44">
            <w:r>
              <w:t>Michelle Andros</w:t>
            </w:r>
            <w:r w:rsidR="002937EE">
              <w:t xml:space="preserve"> and/or Brenda Wellen</w:t>
            </w:r>
          </w:p>
        </w:tc>
      </w:tr>
      <w:tr w:rsidR="00995B44" w14:paraId="46E5E4F7" w14:textId="77777777" w:rsidTr="00250047">
        <w:tc>
          <w:tcPr>
            <w:tcW w:w="1299" w:type="dxa"/>
          </w:tcPr>
          <w:p w14:paraId="58BA10B0" w14:textId="77777777" w:rsidR="00995B44" w:rsidRDefault="00995B44" w:rsidP="00995B44">
            <w:r>
              <w:t>Length</w:t>
            </w:r>
          </w:p>
        </w:tc>
        <w:tc>
          <w:tcPr>
            <w:tcW w:w="8277" w:type="dxa"/>
          </w:tcPr>
          <w:p w14:paraId="751F2546" w14:textId="6B6649F9" w:rsidR="00995B44" w:rsidRDefault="00995B44" w:rsidP="00995B44">
            <w:r>
              <w:t>90 – 120 minutes</w:t>
            </w:r>
          </w:p>
        </w:tc>
      </w:tr>
      <w:tr w:rsidR="00995B44" w14:paraId="55B7DE8A" w14:textId="77777777" w:rsidTr="00250047">
        <w:tc>
          <w:tcPr>
            <w:tcW w:w="1299" w:type="dxa"/>
          </w:tcPr>
          <w:p w14:paraId="7C8DBF5A" w14:textId="77777777" w:rsidR="00995B44" w:rsidRDefault="00995B44" w:rsidP="00995B44">
            <w:r>
              <w:t>Materials</w:t>
            </w:r>
          </w:p>
        </w:tc>
        <w:tc>
          <w:tcPr>
            <w:tcW w:w="8277" w:type="dxa"/>
          </w:tcPr>
          <w:p w14:paraId="64F2E7EA" w14:textId="77777777" w:rsidR="00995B44" w:rsidRDefault="00995B44" w:rsidP="00995B44"/>
        </w:tc>
      </w:tr>
    </w:tbl>
    <w:p w14:paraId="149084E7" w14:textId="77777777" w:rsidR="00E9699D" w:rsidRDefault="00E9699D"/>
    <w:p w14:paraId="54A9D083" w14:textId="77777777" w:rsidR="00E9699D" w:rsidRDefault="00E9699D"/>
    <w:tbl>
      <w:tblPr>
        <w:tblStyle w:val="TableGrid"/>
        <w:tblW w:w="0" w:type="auto"/>
        <w:tblLook w:val="04A0" w:firstRow="1" w:lastRow="0" w:firstColumn="1" w:lastColumn="0" w:noHBand="0" w:noVBand="1"/>
      </w:tblPr>
      <w:tblGrid>
        <w:gridCol w:w="1299"/>
        <w:gridCol w:w="8051"/>
      </w:tblGrid>
      <w:tr w:rsidR="00E301A5" w14:paraId="226C56F8" w14:textId="77777777" w:rsidTr="002937EE">
        <w:tc>
          <w:tcPr>
            <w:tcW w:w="1299" w:type="dxa"/>
          </w:tcPr>
          <w:p w14:paraId="678B5D36" w14:textId="77777777" w:rsidR="00E301A5" w:rsidRPr="00523733" w:rsidRDefault="00E301A5" w:rsidP="00250047">
            <w:pPr>
              <w:rPr>
                <w:b/>
                <w:bCs/>
                <w:sz w:val="28"/>
                <w:szCs w:val="28"/>
              </w:rPr>
            </w:pPr>
            <w:r w:rsidRPr="00523733">
              <w:rPr>
                <w:b/>
                <w:bCs/>
                <w:sz w:val="28"/>
                <w:szCs w:val="28"/>
              </w:rPr>
              <w:t>Session Title</w:t>
            </w:r>
          </w:p>
        </w:tc>
        <w:tc>
          <w:tcPr>
            <w:tcW w:w="8051" w:type="dxa"/>
          </w:tcPr>
          <w:p w14:paraId="6883C6BE" w14:textId="63DDBBD8" w:rsidR="00E301A5" w:rsidRPr="00523733" w:rsidRDefault="00E301A5" w:rsidP="00250047">
            <w:pPr>
              <w:rPr>
                <w:b/>
                <w:bCs/>
                <w:sz w:val="28"/>
                <w:szCs w:val="28"/>
              </w:rPr>
            </w:pPr>
            <w:r w:rsidRPr="00523733">
              <w:rPr>
                <w:b/>
                <w:bCs/>
                <w:sz w:val="28"/>
                <w:szCs w:val="28"/>
              </w:rPr>
              <w:t xml:space="preserve">Incorporating the Expanded Core </w:t>
            </w:r>
            <w:r w:rsidR="00171812">
              <w:rPr>
                <w:b/>
                <w:bCs/>
                <w:sz w:val="28"/>
                <w:szCs w:val="28"/>
              </w:rPr>
              <w:t>C</w:t>
            </w:r>
            <w:r w:rsidRPr="00523733">
              <w:rPr>
                <w:b/>
                <w:bCs/>
                <w:sz w:val="28"/>
                <w:szCs w:val="28"/>
              </w:rPr>
              <w:t>urriculum for Deaf and Hard of Hearing Students into Daily Instruction</w:t>
            </w:r>
          </w:p>
        </w:tc>
      </w:tr>
      <w:tr w:rsidR="00E301A5" w14:paraId="340E93BC" w14:textId="77777777" w:rsidTr="002937EE">
        <w:tc>
          <w:tcPr>
            <w:tcW w:w="1299" w:type="dxa"/>
          </w:tcPr>
          <w:p w14:paraId="315129CF" w14:textId="77777777" w:rsidR="00E301A5" w:rsidRDefault="00E301A5" w:rsidP="00250047">
            <w:r>
              <w:t>Description</w:t>
            </w:r>
          </w:p>
        </w:tc>
        <w:tc>
          <w:tcPr>
            <w:tcW w:w="8051" w:type="dxa"/>
          </w:tcPr>
          <w:p w14:paraId="11BDA924" w14:textId="3CD1F91F" w:rsidR="00E301A5" w:rsidRDefault="00E301A5" w:rsidP="00250047">
            <w:r>
              <w:t>The Expanded Core curriculum (ECC) addresses the unique learning needs of students who are d</w:t>
            </w:r>
            <w:r w:rsidR="00EB2AE2">
              <w:t>/D</w:t>
            </w:r>
            <w:r>
              <w:t xml:space="preserve">eaf and </w:t>
            </w:r>
            <w:r w:rsidR="00EB2AE2">
              <w:t>H</w:t>
            </w:r>
            <w:r>
              <w:t xml:space="preserve">ard of </w:t>
            </w:r>
            <w:r w:rsidR="00EB2AE2">
              <w:t>H</w:t>
            </w:r>
            <w:r>
              <w:t xml:space="preserve">earing beyond the classroom curriculum. This course gives teachers practical strategies to integrate ECC components – such as self-advocacy, communication, social-emotional skills, and career readiness – into everyday instruction.  </w:t>
            </w:r>
          </w:p>
        </w:tc>
      </w:tr>
      <w:tr w:rsidR="00E301A5" w14:paraId="4DBBD5C6" w14:textId="77777777" w:rsidTr="002937EE">
        <w:tc>
          <w:tcPr>
            <w:tcW w:w="1299" w:type="dxa"/>
          </w:tcPr>
          <w:p w14:paraId="2E465BFB" w14:textId="77777777" w:rsidR="00E301A5" w:rsidRDefault="00E301A5" w:rsidP="00250047">
            <w:r>
              <w:t>Objectives</w:t>
            </w:r>
          </w:p>
        </w:tc>
        <w:tc>
          <w:tcPr>
            <w:tcW w:w="8051" w:type="dxa"/>
          </w:tcPr>
          <w:p w14:paraId="17A0ED2B" w14:textId="77777777" w:rsidR="00E301A5" w:rsidRDefault="00E301A5" w:rsidP="00E301A5">
            <w:pPr>
              <w:pStyle w:val="ListParagraph"/>
              <w:numPr>
                <w:ilvl w:val="0"/>
                <w:numId w:val="7"/>
              </w:numPr>
            </w:pPr>
            <w:r>
              <w:t>Explain the components of the Expanded Core Curriculum and their importance in supporting the holistic development of DHH students.</w:t>
            </w:r>
          </w:p>
          <w:p w14:paraId="5B3DD511" w14:textId="77777777" w:rsidR="00E301A5" w:rsidRDefault="00E301A5" w:rsidP="00E301A5">
            <w:pPr>
              <w:pStyle w:val="ListParagraph"/>
              <w:numPr>
                <w:ilvl w:val="0"/>
                <w:numId w:val="7"/>
              </w:numPr>
            </w:pPr>
            <w:r>
              <w:t>Design instructional activities that integrate ECC skills into academic content and individualized student goals.</w:t>
            </w:r>
          </w:p>
          <w:p w14:paraId="6765F6D9" w14:textId="6FBD76F9" w:rsidR="00E301A5" w:rsidRDefault="00E301A5" w:rsidP="00E301A5">
            <w:pPr>
              <w:pStyle w:val="ListParagraph"/>
              <w:numPr>
                <w:ilvl w:val="0"/>
                <w:numId w:val="7"/>
              </w:numPr>
            </w:pPr>
            <w:r>
              <w:t>Implement daily teaching practices that foster independence, self-advocacy, and social-emotional growth in students who are DHH.</w:t>
            </w:r>
          </w:p>
        </w:tc>
      </w:tr>
      <w:tr w:rsidR="00E301A5" w14:paraId="68DF3EE2" w14:textId="77777777" w:rsidTr="002937EE">
        <w:tc>
          <w:tcPr>
            <w:tcW w:w="1299" w:type="dxa"/>
          </w:tcPr>
          <w:p w14:paraId="3A04D8D5" w14:textId="77777777" w:rsidR="00E301A5" w:rsidRDefault="00E301A5" w:rsidP="00250047">
            <w:r>
              <w:t>Presenter(s)</w:t>
            </w:r>
          </w:p>
        </w:tc>
        <w:tc>
          <w:tcPr>
            <w:tcW w:w="8051" w:type="dxa"/>
          </w:tcPr>
          <w:p w14:paraId="66FF3D4A" w14:textId="7D917124" w:rsidR="00E301A5" w:rsidRDefault="00E301A5" w:rsidP="00250047">
            <w:r>
              <w:t>Michelle Andros</w:t>
            </w:r>
            <w:r w:rsidR="002937EE">
              <w:t xml:space="preserve"> and/or Brenda Wellen</w:t>
            </w:r>
          </w:p>
        </w:tc>
      </w:tr>
      <w:tr w:rsidR="00E301A5" w14:paraId="71F7A8C8" w14:textId="77777777" w:rsidTr="002937EE">
        <w:tc>
          <w:tcPr>
            <w:tcW w:w="1299" w:type="dxa"/>
          </w:tcPr>
          <w:p w14:paraId="577C5FBB" w14:textId="77777777" w:rsidR="00E301A5" w:rsidRDefault="00E301A5" w:rsidP="00250047">
            <w:r>
              <w:t>Length</w:t>
            </w:r>
          </w:p>
        </w:tc>
        <w:tc>
          <w:tcPr>
            <w:tcW w:w="8051" w:type="dxa"/>
          </w:tcPr>
          <w:p w14:paraId="59717DE5" w14:textId="77777777" w:rsidR="00E301A5" w:rsidRDefault="00E301A5" w:rsidP="00250047">
            <w:r>
              <w:t>90 – 120 minutes</w:t>
            </w:r>
          </w:p>
        </w:tc>
      </w:tr>
      <w:tr w:rsidR="00E301A5" w14:paraId="6FD707CA" w14:textId="77777777" w:rsidTr="002937EE">
        <w:tc>
          <w:tcPr>
            <w:tcW w:w="1299" w:type="dxa"/>
          </w:tcPr>
          <w:p w14:paraId="451304C1" w14:textId="77777777" w:rsidR="00E301A5" w:rsidRDefault="00E301A5" w:rsidP="00250047">
            <w:r>
              <w:t>Materials</w:t>
            </w:r>
          </w:p>
        </w:tc>
        <w:tc>
          <w:tcPr>
            <w:tcW w:w="8051" w:type="dxa"/>
          </w:tcPr>
          <w:p w14:paraId="05AA42F3" w14:textId="77777777" w:rsidR="00E301A5" w:rsidRDefault="00E301A5" w:rsidP="00250047"/>
        </w:tc>
      </w:tr>
    </w:tbl>
    <w:p w14:paraId="13116173" w14:textId="77777777" w:rsidR="00E9699D" w:rsidRDefault="00E9699D"/>
    <w:tbl>
      <w:tblPr>
        <w:tblStyle w:val="TableGrid"/>
        <w:tblW w:w="0" w:type="auto"/>
        <w:tblLook w:val="04A0" w:firstRow="1" w:lastRow="0" w:firstColumn="1" w:lastColumn="0" w:noHBand="0" w:noVBand="1"/>
      </w:tblPr>
      <w:tblGrid>
        <w:gridCol w:w="1299"/>
        <w:gridCol w:w="8051"/>
      </w:tblGrid>
      <w:tr w:rsidR="0015733F" w14:paraId="582658B2" w14:textId="77777777" w:rsidTr="001B60F1">
        <w:tc>
          <w:tcPr>
            <w:tcW w:w="1299" w:type="dxa"/>
          </w:tcPr>
          <w:p w14:paraId="6DFE8CA7" w14:textId="77777777" w:rsidR="0015733F" w:rsidRPr="00523733" w:rsidRDefault="0015733F" w:rsidP="001B60F1">
            <w:pPr>
              <w:rPr>
                <w:b/>
                <w:bCs/>
                <w:sz w:val="28"/>
                <w:szCs w:val="28"/>
              </w:rPr>
            </w:pPr>
            <w:r w:rsidRPr="00523733">
              <w:rPr>
                <w:b/>
                <w:bCs/>
                <w:sz w:val="28"/>
                <w:szCs w:val="28"/>
              </w:rPr>
              <w:t>Session Title</w:t>
            </w:r>
          </w:p>
        </w:tc>
        <w:tc>
          <w:tcPr>
            <w:tcW w:w="8051" w:type="dxa"/>
          </w:tcPr>
          <w:p w14:paraId="5966CF2A" w14:textId="77777777" w:rsidR="0015733F" w:rsidRPr="00523733" w:rsidRDefault="0015733F" w:rsidP="001B60F1">
            <w:pPr>
              <w:rPr>
                <w:b/>
                <w:bCs/>
                <w:sz w:val="28"/>
                <w:szCs w:val="28"/>
              </w:rPr>
            </w:pPr>
            <w:r w:rsidRPr="00523733">
              <w:rPr>
                <w:b/>
                <w:bCs/>
                <w:sz w:val="28"/>
                <w:szCs w:val="28"/>
              </w:rPr>
              <w:t>Building Skills for Success in the Fast-Paced Classroom</w:t>
            </w:r>
          </w:p>
        </w:tc>
      </w:tr>
      <w:tr w:rsidR="0015733F" w14:paraId="66BDFDB5" w14:textId="77777777" w:rsidTr="001B60F1">
        <w:tc>
          <w:tcPr>
            <w:tcW w:w="1299" w:type="dxa"/>
          </w:tcPr>
          <w:p w14:paraId="522587B8" w14:textId="77777777" w:rsidR="0015733F" w:rsidRDefault="0015733F" w:rsidP="001B60F1">
            <w:r>
              <w:t>Description</w:t>
            </w:r>
          </w:p>
        </w:tc>
        <w:tc>
          <w:tcPr>
            <w:tcW w:w="8051" w:type="dxa"/>
          </w:tcPr>
          <w:p w14:paraId="04D47CA2" w14:textId="1C51C674" w:rsidR="0015733F" w:rsidRDefault="0015733F" w:rsidP="001B60F1">
            <w:r>
              <w:t>The one-day workshop review</w:t>
            </w:r>
            <w:r w:rsidR="003C00B3">
              <w:t>s</w:t>
            </w:r>
            <w:r>
              <w:t xml:space="preserve"> the information contained within the 500-page Building Skills for Success in the Fast-Paced Classroom book, by Dr. Karen Anderson. This book is owned by more than ¼ of the teachers of the d</w:t>
            </w:r>
            <w:r w:rsidR="003C00B3">
              <w:t>/D</w:t>
            </w:r>
            <w:r>
              <w:t xml:space="preserve">eaf and </w:t>
            </w:r>
            <w:r w:rsidR="003C00B3">
              <w:t>H</w:t>
            </w:r>
            <w:r>
              <w:t xml:space="preserve">ard of </w:t>
            </w:r>
            <w:r w:rsidR="003C00B3">
              <w:t>H</w:t>
            </w:r>
            <w:r>
              <w:t xml:space="preserve">earing in the U.S. Seven chapters cover assessment, understanding the effects of hearing </w:t>
            </w:r>
            <w:r w:rsidR="003C00B3">
              <w:t>differences</w:t>
            </w:r>
            <w:r>
              <w:t xml:space="preserve"> on speech perception, auditory development, social and conversational competence, communication repair, self-concept development, self-advocacy, and accessing the general education curriculum.</w:t>
            </w:r>
          </w:p>
        </w:tc>
      </w:tr>
      <w:tr w:rsidR="0015733F" w14:paraId="23157288" w14:textId="77777777" w:rsidTr="001B60F1">
        <w:tc>
          <w:tcPr>
            <w:tcW w:w="1299" w:type="dxa"/>
          </w:tcPr>
          <w:p w14:paraId="21BB0510" w14:textId="77777777" w:rsidR="0015733F" w:rsidRDefault="0015733F" w:rsidP="001B60F1">
            <w:r>
              <w:t>Objectives</w:t>
            </w:r>
          </w:p>
        </w:tc>
        <w:tc>
          <w:tcPr>
            <w:tcW w:w="8051" w:type="dxa"/>
          </w:tcPr>
          <w:p w14:paraId="1EBDF767" w14:textId="11CB4777" w:rsidR="0015733F" w:rsidRDefault="0015733F" w:rsidP="0015733F">
            <w:pPr>
              <w:pStyle w:val="ListParagraph"/>
              <w:numPr>
                <w:ilvl w:val="0"/>
                <w:numId w:val="12"/>
              </w:numPr>
            </w:pPr>
            <w:r>
              <w:t xml:space="preserve">Describe the educational impacts of </w:t>
            </w:r>
            <w:r w:rsidR="003C00B3">
              <w:t xml:space="preserve">a </w:t>
            </w:r>
            <w:r>
              <w:t xml:space="preserve">hearing </w:t>
            </w:r>
            <w:r w:rsidR="003C00B3">
              <w:t>difference</w:t>
            </w:r>
            <w:r>
              <w:t xml:space="preserve"> and functional assessment of adverse educational needs.</w:t>
            </w:r>
          </w:p>
          <w:p w14:paraId="78C8F3EB" w14:textId="77777777" w:rsidR="0015733F" w:rsidRDefault="0015733F" w:rsidP="0015733F">
            <w:pPr>
              <w:pStyle w:val="ListParagraph"/>
              <w:numPr>
                <w:ilvl w:val="0"/>
                <w:numId w:val="12"/>
              </w:numPr>
            </w:pPr>
            <w:r>
              <w:t>Use materials to improve communication skills, including auditory development, social skills, conversational competence.</w:t>
            </w:r>
          </w:p>
          <w:p w14:paraId="504285D7" w14:textId="77777777" w:rsidR="0015733F" w:rsidRDefault="0015733F" w:rsidP="0015733F">
            <w:pPr>
              <w:pStyle w:val="ListParagraph"/>
              <w:numPr>
                <w:ilvl w:val="0"/>
                <w:numId w:val="12"/>
              </w:numPr>
            </w:pPr>
            <w:r>
              <w:t>Use materials to improve function in the classroom via self-advocacy, communication repair, and accessing the general education curriculum.</w:t>
            </w:r>
          </w:p>
        </w:tc>
      </w:tr>
      <w:tr w:rsidR="0015733F" w14:paraId="4E5C6480" w14:textId="77777777" w:rsidTr="001B60F1">
        <w:tc>
          <w:tcPr>
            <w:tcW w:w="1299" w:type="dxa"/>
          </w:tcPr>
          <w:p w14:paraId="08D794B1" w14:textId="77777777" w:rsidR="0015733F" w:rsidRDefault="0015733F" w:rsidP="001B60F1">
            <w:r>
              <w:t>Presenter(s)</w:t>
            </w:r>
          </w:p>
        </w:tc>
        <w:tc>
          <w:tcPr>
            <w:tcW w:w="8051" w:type="dxa"/>
          </w:tcPr>
          <w:p w14:paraId="516FF024" w14:textId="77777777" w:rsidR="0015733F" w:rsidRDefault="0015733F" w:rsidP="001B60F1">
            <w:r>
              <w:t>Brenda Wellen and Michelle Andros</w:t>
            </w:r>
          </w:p>
        </w:tc>
      </w:tr>
      <w:tr w:rsidR="0015733F" w14:paraId="39E47202" w14:textId="77777777" w:rsidTr="001B60F1">
        <w:tc>
          <w:tcPr>
            <w:tcW w:w="1299" w:type="dxa"/>
          </w:tcPr>
          <w:p w14:paraId="49887105" w14:textId="77777777" w:rsidR="0015733F" w:rsidRDefault="0015733F" w:rsidP="001B60F1">
            <w:r>
              <w:t>Length</w:t>
            </w:r>
          </w:p>
        </w:tc>
        <w:tc>
          <w:tcPr>
            <w:tcW w:w="8051" w:type="dxa"/>
          </w:tcPr>
          <w:p w14:paraId="1264A396" w14:textId="77777777" w:rsidR="0015733F" w:rsidRDefault="0015733F" w:rsidP="001B60F1">
            <w:r>
              <w:t>Full day</w:t>
            </w:r>
          </w:p>
        </w:tc>
      </w:tr>
      <w:tr w:rsidR="0015733F" w14:paraId="7CCB77B9" w14:textId="77777777" w:rsidTr="001B60F1">
        <w:tc>
          <w:tcPr>
            <w:tcW w:w="1299" w:type="dxa"/>
          </w:tcPr>
          <w:p w14:paraId="0BF67944" w14:textId="77777777" w:rsidR="0015733F" w:rsidRDefault="0015733F" w:rsidP="001B60F1">
            <w:r>
              <w:t>Materials</w:t>
            </w:r>
          </w:p>
        </w:tc>
        <w:tc>
          <w:tcPr>
            <w:tcW w:w="8051" w:type="dxa"/>
          </w:tcPr>
          <w:p w14:paraId="0996E492" w14:textId="0F7FCAB5" w:rsidR="0015733F" w:rsidRDefault="0015733F" w:rsidP="001B60F1">
            <w:r>
              <w:t>Building Skills for Success in the Fast-Paced Classroom</w:t>
            </w:r>
            <w:r w:rsidR="00E9699D">
              <w:t xml:space="preserve"> book</w:t>
            </w:r>
          </w:p>
        </w:tc>
      </w:tr>
    </w:tbl>
    <w:p w14:paraId="10508BBA" w14:textId="77777777" w:rsidR="0015733F" w:rsidRDefault="0015733F"/>
    <w:p w14:paraId="073CFA32" w14:textId="7B9E4745" w:rsidR="00E301A5" w:rsidRDefault="00523733">
      <w:r>
        <w:t xml:space="preserve">The Supporting Success Team welcomes opportunities to speak to teachers and other professionals who work with students who are </w:t>
      </w:r>
      <w:r w:rsidR="003C00B3">
        <w:t>d/</w:t>
      </w:r>
      <w:r>
        <w:t>Deaf or Hard of Hearing.  We also welcome the opportunity to speak to parents and families who need guidance</w:t>
      </w:r>
      <w:r w:rsidR="00DB4D70">
        <w:t xml:space="preserve"> on finding resources and advocating for their child. With years </w:t>
      </w:r>
      <w:r w:rsidR="00DB4D70">
        <w:lastRenderedPageBreak/>
        <w:t>of experience and hands-on knowledge, our team brings valuable insights to educators, administrators, and families.</w:t>
      </w:r>
      <w:r w:rsidR="003C00B3">
        <w:t xml:space="preserve"> Please note that presentations can be tailored </w:t>
      </w:r>
      <w:proofErr w:type="gramStart"/>
      <w:r w:rsidR="003C00B3">
        <w:t>to</w:t>
      </w:r>
      <w:proofErr w:type="gramEnd"/>
      <w:r w:rsidR="003C00B3">
        <w:t xml:space="preserve"> the audience. </w:t>
      </w:r>
    </w:p>
    <w:p w14:paraId="16EF0EBE" w14:textId="26D7AF75" w:rsidR="00DB4D70" w:rsidRPr="00DB4D70" w:rsidRDefault="00DB4D70">
      <w:pPr>
        <w:rPr>
          <w:b/>
          <w:bCs/>
          <w:sz w:val="28"/>
          <w:szCs w:val="28"/>
        </w:rPr>
      </w:pPr>
      <w:r w:rsidRPr="00DB4D70">
        <w:rPr>
          <w:b/>
          <w:bCs/>
          <w:sz w:val="28"/>
          <w:szCs w:val="28"/>
        </w:rPr>
        <w:t>Booking Information:</w:t>
      </w:r>
    </w:p>
    <w:p w14:paraId="3F6F99DD" w14:textId="7B4ED465" w:rsidR="00DB4D70" w:rsidRDefault="00DB4D70">
      <w:r w:rsidRPr="00DB4D70">
        <w:rPr>
          <w:b/>
          <w:bCs/>
        </w:rPr>
        <w:t>Notice</w:t>
      </w:r>
      <w:proofErr w:type="gramStart"/>
      <w:r w:rsidRPr="00DB4D70">
        <w:rPr>
          <w:b/>
          <w:bCs/>
        </w:rPr>
        <w:t xml:space="preserve">: </w:t>
      </w:r>
      <w:r>
        <w:t xml:space="preserve"> Minimum</w:t>
      </w:r>
      <w:proofErr w:type="gramEnd"/>
      <w:r>
        <w:t xml:space="preserve"> of 60 days’ notice requested.</w:t>
      </w:r>
    </w:p>
    <w:p w14:paraId="5234E16B" w14:textId="50B4A2FF" w:rsidR="00DB4D70" w:rsidRDefault="00DB4D70">
      <w:r w:rsidRPr="00DB4D70">
        <w:rPr>
          <w:b/>
          <w:bCs/>
        </w:rPr>
        <w:t>Format</w:t>
      </w:r>
      <w:proofErr w:type="gramStart"/>
      <w:r w:rsidRPr="00DB4D70">
        <w:rPr>
          <w:b/>
          <w:bCs/>
        </w:rPr>
        <w:t>:</w:t>
      </w:r>
      <w:r>
        <w:t xml:space="preserve">  Virtual</w:t>
      </w:r>
      <w:proofErr w:type="gramEnd"/>
      <w:r>
        <w:t xml:space="preserve"> or in-person sessions welcomed</w:t>
      </w:r>
      <w:r w:rsidR="003C00B3">
        <w:t>.</w:t>
      </w:r>
    </w:p>
    <w:p w14:paraId="1332CE55" w14:textId="3CDDF365" w:rsidR="00DB4D70" w:rsidRDefault="00DB4D70">
      <w:r w:rsidRPr="00DB4D70">
        <w:rPr>
          <w:b/>
          <w:bCs/>
        </w:rPr>
        <w:t>Fees:</w:t>
      </w:r>
      <w:r>
        <w:t xml:space="preserve"> Based on event details</w:t>
      </w:r>
      <w:r w:rsidR="003C00B3">
        <w:t>.</w:t>
      </w:r>
    </w:p>
    <w:p w14:paraId="7B5B0BF5" w14:textId="120F577B" w:rsidR="00DB4D70" w:rsidRDefault="00DB4D70">
      <w:r w:rsidRPr="00DB4D70">
        <w:rPr>
          <w:b/>
          <w:bCs/>
        </w:rPr>
        <w:t>Materials:</w:t>
      </w:r>
      <w:r>
        <w:t xml:space="preserve"> Downloadable resources are provided with each session. Books can be purchased separately.</w:t>
      </w:r>
    </w:p>
    <w:p w14:paraId="01F919F0" w14:textId="79D31B9A" w:rsidR="00DB4D70" w:rsidRDefault="00DB4D70">
      <w:r w:rsidRPr="00DB4D70">
        <w:rPr>
          <w:b/>
          <w:bCs/>
        </w:rPr>
        <w:t>Contact:</w:t>
      </w:r>
      <w:r>
        <w:t xml:space="preserve">  Brenda Wellen at </w:t>
      </w:r>
      <w:hyperlink r:id="rId8" w:history="1">
        <w:r w:rsidRPr="004828B5">
          <w:rPr>
            <w:rStyle w:val="Hyperlink"/>
          </w:rPr>
          <w:t>brenda@success4kidswhl.com</w:t>
        </w:r>
      </w:hyperlink>
      <w:r>
        <w:t xml:space="preserve">, or call 1-888-963-8991 x4. </w:t>
      </w:r>
    </w:p>
    <w:p w14:paraId="4BE998E6" w14:textId="77777777" w:rsidR="007B5C50" w:rsidRDefault="007B5C50"/>
    <w:p w14:paraId="7A824762" w14:textId="375A63EB" w:rsidR="007B5C50" w:rsidRDefault="007B5C50">
      <w:pPr>
        <w:rPr>
          <w:b/>
          <w:bCs/>
        </w:rPr>
      </w:pPr>
    </w:p>
    <w:sectPr w:rsidR="007B5C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B59EB" w14:textId="77777777" w:rsidR="00F64AB0" w:rsidRDefault="00F64AB0" w:rsidP="00E62CDC">
      <w:pPr>
        <w:spacing w:after="0" w:line="240" w:lineRule="auto"/>
      </w:pPr>
      <w:r>
        <w:separator/>
      </w:r>
    </w:p>
  </w:endnote>
  <w:endnote w:type="continuationSeparator" w:id="0">
    <w:p w14:paraId="01EF9F2F" w14:textId="77777777" w:rsidR="00F64AB0" w:rsidRDefault="00F64AB0" w:rsidP="00E62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AFD08" w14:textId="77777777" w:rsidR="00F64AB0" w:rsidRDefault="00F64AB0" w:rsidP="00E62CDC">
      <w:pPr>
        <w:spacing w:after="0" w:line="240" w:lineRule="auto"/>
      </w:pPr>
      <w:r>
        <w:separator/>
      </w:r>
    </w:p>
  </w:footnote>
  <w:footnote w:type="continuationSeparator" w:id="0">
    <w:p w14:paraId="6B5F0EAD" w14:textId="77777777" w:rsidR="00F64AB0" w:rsidRDefault="00F64AB0" w:rsidP="00E62C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EB3"/>
    <w:multiLevelType w:val="hybridMultilevel"/>
    <w:tmpl w:val="36F4BC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1C2556"/>
    <w:multiLevelType w:val="hybridMultilevel"/>
    <w:tmpl w:val="36F4BC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B4E69"/>
    <w:multiLevelType w:val="hybridMultilevel"/>
    <w:tmpl w:val="36F4BC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A64886"/>
    <w:multiLevelType w:val="hybridMultilevel"/>
    <w:tmpl w:val="36F4BC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4D5168"/>
    <w:multiLevelType w:val="hybridMultilevel"/>
    <w:tmpl w:val="722A2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3A6E52"/>
    <w:multiLevelType w:val="hybridMultilevel"/>
    <w:tmpl w:val="36F4BC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AFD107B"/>
    <w:multiLevelType w:val="hybridMultilevel"/>
    <w:tmpl w:val="36F4BC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39F3E41"/>
    <w:multiLevelType w:val="hybridMultilevel"/>
    <w:tmpl w:val="36F4B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AD713B"/>
    <w:multiLevelType w:val="hybridMultilevel"/>
    <w:tmpl w:val="722A2D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E215F4"/>
    <w:multiLevelType w:val="hybridMultilevel"/>
    <w:tmpl w:val="36F4BC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7F2ED4"/>
    <w:multiLevelType w:val="hybridMultilevel"/>
    <w:tmpl w:val="722A2D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48969FC"/>
    <w:multiLevelType w:val="hybridMultilevel"/>
    <w:tmpl w:val="36F4BC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8B86CEE"/>
    <w:multiLevelType w:val="hybridMultilevel"/>
    <w:tmpl w:val="36F4BC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6457507">
    <w:abstractNumId w:val="4"/>
  </w:num>
  <w:num w:numId="2" w16cid:durableId="635570334">
    <w:abstractNumId w:val="8"/>
  </w:num>
  <w:num w:numId="3" w16cid:durableId="1115447363">
    <w:abstractNumId w:val="10"/>
  </w:num>
  <w:num w:numId="4" w16cid:durableId="224537776">
    <w:abstractNumId w:val="7"/>
  </w:num>
  <w:num w:numId="5" w16cid:durableId="959071283">
    <w:abstractNumId w:val="0"/>
  </w:num>
  <w:num w:numId="6" w16cid:durableId="690379630">
    <w:abstractNumId w:val="12"/>
  </w:num>
  <w:num w:numId="7" w16cid:durableId="558319875">
    <w:abstractNumId w:val="5"/>
  </w:num>
  <w:num w:numId="8" w16cid:durableId="1187255697">
    <w:abstractNumId w:val="11"/>
  </w:num>
  <w:num w:numId="9" w16cid:durableId="401491649">
    <w:abstractNumId w:val="1"/>
  </w:num>
  <w:num w:numId="10" w16cid:durableId="242959076">
    <w:abstractNumId w:val="3"/>
  </w:num>
  <w:num w:numId="11" w16cid:durableId="1888299498">
    <w:abstractNumId w:val="6"/>
  </w:num>
  <w:num w:numId="12" w16cid:durableId="1605720904">
    <w:abstractNumId w:val="2"/>
  </w:num>
  <w:num w:numId="13" w16cid:durableId="18248150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CDC"/>
    <w:rsid w:val="00025EC9"/>
    <w:rsid w:val="0015733F"/>
    <w:rsid w:val="00171812"/>
    <w:rsid w:val="001F33C7"/>
    <w:rsid w:val="00207A9C"/>
    <w:rsid w:val="00250047"/>
    <w:rsid w:val="002937EE"/>
    <w:rsid w:val="0030508C"/>
    <w:rsid w:val="00347B7B"/>
    <w:rsid w:val="00374F78"/>
    <w:rsid w:val="003C00B3"/>
    <w:rsid w:val="004E4C20"/>
    <w:rsid w:val="00523733"/>
    <w:rsid w:val="00641853"/>
    <w:rsid w:val="006C6386"/>
    <w:rsid w:val="00737A6D"/>
    <w:rsid w:val="007635FB"/>
    <w:rsid w:val="00785F4C"/>
    <w:rsid w:val="007B5C50"/>
    <w:rsid w:val="00995B44"/>
    <w:rsid w:val="00AC60B0"/>
    <w:rsid w:val="00AF14B9"/>
    <w:rsid w:val="00D6652B"/>
    <w:rsid w:val="00DB4D70"/>
    <w:rsid w:val="00E301A5"/>
    <w:rsid w:val="00E62CDC"/>
    <w:rsid w:val="00E6495E"/>
    <w:rsid w:val="00E72F5F"/>
    <w:rsid w:val="00E73FA8"/>
    <w:rsid w:val="00E9699D"/>
    <w:rsid w:val="00EB2AE2"/>
    <w:rsid w:val="00F64AB0"/>
    <w:rsid w:val="00F92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5D5C0"/>
  <w15:chartTrackingRefBased/>
  <w15:docId w15:val="{AE3BC19D-B677-4868-8E70-B75E2556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99D"/>
  </w:style>
  <w:style w:type="paragraph" w:styleId="Heading1">
    <w:name w:val="heading 1"/>
    <w:basedOn w:val="Normal"/>
    <w:next w:val="Normal"/>
    <w:link w:val="Heading1Char"/>
    <w:uiPriority w:val="9"/>
    <w:qFormat/>
    <w:rsid w:val="00E62CD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62CD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62CD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62CD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62CD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62C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C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C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C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CD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62CD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62CD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62CD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62CD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62C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C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C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CDC"/>
    <w:rPr>
      <w:rFonts w:eastAsiaTheme="majorEastAsia" w:cstheme="majorBidi"/>
      <w:color w:val="272727" w:themeColor="text1" w:themeTint="D8"/>
    </w:rPr>
  </w:style>
  <w:style w:type="paragraph" w:styleId="Title">
    <w:name w:val="Title"/>
    <w:basedOn w:val="Normal"/>
    <w:next w:val="Normal"/>
    <w:link w:val="TitleChar"/>
    <w:uiPriority w:val="10"/>
    <w:qFormat/>
    <w:rsid w:val="00E62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C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C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C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C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2CDC"/>
    <w:rPr>
      <w:i/>
      <w:iCs/>
      <w:color w:val="404040" w:themeColor="text1" w:themeTint="BF"/>
    </w:rPr>
  </w:style>
  <w:style w:type="paragraph" w:styleId="ListParagraph">
    <w:name w:val="List Paragraph"/>
    <w:basedOn w:val="Normal"/>
    <w:uiPriority w:val="34"/>
    <w:qFormat/>
    <w:rsid w:val="00E62CDC"/>
    <w:pPr>
      <w:ind w:left="720"/>
      <w:contextualSpacing/>
    </w:pPr>
  </w:style>
  <w:style w:type="character" w:styleId="IntenseEmphasis">
    <w:name w:val="Intense Emphasis"/>
    <w:basedOn w:val="DefaultParagraphFont"/>
    <w:uiPriority w:val="21"/>
    <w:qFormat/>
    <w:rsid w:val="00E62CDC"/>
    <w:rPr>
      <w:i/>
      <w:iCs/>
      <w:color w:val="365F91" w:themeColor="accent1" w:themeShade="BF"/>
    </w:rPr>
  </w:style>
  <w:style w:type="paragraph" w:styleId="IntenseQuote">
    <w:name w:val="Intense Quote"/>
    <w:basedOn w:val="Normal"/>
    <w:next w:val="Normal"/>
    <w:link w:val="IntenseQuoteChar"/>
    <w:uiPriority w:val="30"/>
    <w:qFormat/>
    <w:rsid w:val="00E62CD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62CDC"/>
    <w:rPr>
      <w:i/>
      <w:iCs/>
      <w:color w:val="365F91" w:themeColor="accent1" w:themeShade="BF"/>
    </w:rPr>
  </w:style>
  <w:style w:type="character" w:styleId="IntenseReference">
    <w:name w:val="Intense Reference"/>
    <w:basedOn w:val="DefaultParagraphFont"/>
    <w:uiPriority w:val="32"/>
    <w:qFormat/>
    <w:rsid w:val="00E62CDC"/>
    <w:rPr>
      <w:b/>
      <w:bCs/>
      <w:smallCaps/>
      <w:color w:val="365F91" w:themeColor="accent1" w:themeShade="BF"/>
      <w:spacing w:val="5"/>
    </w:rPr>
  </w:style>
  <w:style w:type="paragraph" w:styleId="Header">
    <w:name w:val="header"/>
    <w:basedOn w:val="Normal"/>
    <w:link w:val="HeaderChar"/>
    <w:uiPriority w:val="99"/>
    <w:unhideWhenUsed/>
    <w:rsid w:val="00E62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CDC"/>
  </w:style>
  <w:style w:type="paragraph" w:styleId="Footer">
    <w:name w:val="footer"/>
    <w:basedOn w:val="Normal"/>
    <w:link w:val="FooterChar"/>
    <w:uiPriority w:val="99"/>
    <w:unhideWhenUsed/>
    <w:rsid w:val="00E62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CDC"/>
  </w:style>
  <w:style w:type="table" w:styleId="TableGrid">
    <w:name w:val="Table Grid"/>
    <w:basedOn w:val="TableNormal"/>
    <w:uiPriority w:val="59"/>
    <w:rsid w:val="00E62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4D70"/>
    <w:rPr>
      <w:color w:val="0000FF" w:themeColor="hyperlink"/>
      <w:u w:val="single"/>
    </w:rPr>
  </w:style>
  <w:style w:type="character" w:styleId="UnresolvedMention">
    <w:name w:val="Unresolved Mention"/>
    <w:basedOn w:val="DefaultParagraphFont"/>
    <w:uiPriority w:val="99"/>
    <w:semiHidden/>
    <w:unhideWhenUsed/>
    <w:rsid w:val="00DB4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152108">
      <w:bodyDiv w:val="1"/>
      <w:marLeft w:val="0"/>
      <w:marRight w:val="0"/>
      <w:marTop w:val="0"/>
      <w:marBottom w:val="0"/>
      <w:divBdr>
        <w:top w:val="none" w:sz="0" w:space="0" w:color="auto"/>
        <w:left w:val="none" w:sz="0" w:space="0" w:color="auto"/>
        <w:bottom w:val="none" w:sz="0" w:space="0" w:color="auto"/>
        <w:right w:val="none" w:sz="0" w:space="0" w:color="auto"/>
      </w:divBdr>
    </w:div>
    <w:div w:id="203869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nda@success4kidswh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Wellen</dc:creator>
  <cp:keywords/>
  <dc:description/>
  <cp:lastModifiedBy>Brenda Wellen</cp:lastModifiedBy>
  <cp:revision>2</cp:revision>
  <dcterms:created xsi:type="dcterms:W3CDTF">2026-02-17T15:03:00Z</dcterms:created>
  <dcterms:modified xsi:type="dcterms:W3CDTF">2026-02-17T15:03:00Z</dcterms:modified>
</cp:coreProperties>
</file>